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w:t>
      </w:r>
      <w:r w:rsidR="0051698B">
        <w:rPr>
          <w:rFonts w:ascii="Palatino Linotype" w:hAnsi="Palatino Linotype" w:cs="Arial"/>
          <w:b/>
        </w:rPr>
        <w:t xml:space="preserve">CONCURRENTE </w:t>
      </w:r>
      <w:r w:rsidRPr="0073286C">
        <w:rPr>
          <w:rFonts w:ascii="Palatino Linotype" w:hAnsi="Palatino Linotype" w:cs="Arial"/>
          <w:b/>
        </w:rPr>
        <w:t>QUE FORMULA</w:t>
      </w:r>
      <w:r w:rsidR="0051698B">
        <w:rPr>
          <w:rFonts w:ascii="Palatino Linotype" w:hAnsi="Palatino Linotype" w:cs="Arial"/>
          <w:b/>
        </w:rPr>
        <w:t>N LA COMISIONADA EVA ABAID YAPUR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D6F2C">
        <w:rPr>
          <w:rFonts w:ascii="Palatino Linotype" w:hAnsi="Palatino Linotype" w:cs="Arial"/>
          <w:b/>
        </w:rPr>
        <w:t>SÉPTIMA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0D6F2C">
        <w:rPr>
          <w:rFonts w:ascii="Palatino Linotype" w:hAnsi="Palatino Linotype" w:cs="Arial"/>
          <w:b/>
        </w:rPr>
        <w:t>VEINTE DE FEBRERO</w:t>
      </w:r>
      <w:r w:rsidR="00400547">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sidR="000D6F2C">
        <w:rPr>
          <w:rFonts w:ascii="Palatino Linotype" w:hAnsi="Palatino Linotype" w:cs="Arial"/>
          <w:b/>
        </w:rPr>
        <w:t>NUEVE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0D6F2C">
        <w:rPr>
          <w:rFonts w:ascii="Palatino Linotype" w:hAnsi="Palatino Linotype" w:cs="Arial"/>
          <w:b/>
        </w:rPr>
        <w:t xml:space="preserve"> 04638</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202921"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51698B">
        <w:rPr>
          <w:rFonts w:ascii="Palatino Linotype" w:hAnsi="Palatino Linotype" w:cs="Arial"/>
        </w:rPr>
        <w:t>s</w:t>
      </w:r>
      <w:r w:rsidRPr="0073286C">
        <w:rPr>
          <w:rFonts w:ascii="Palatino Linotype" w:hAnsi="Palatino Linotype" w:cs="Arial"/>
        </w:rPr>
        <w:t xml:space="preserve"> que suscribe</w:t>
      </w:r>
      <w:r w:rsidR="0051698B">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0051698B">
        <w:rPr>
          <w:rFonts w:ascii="Palatino Linotype" w:hAnsi="Palatino Linotype" w:cs="Arial"/>
        </w:rPr>
        <w:t xml:space="preserve">y </w:t>
      </w:r>
      <w:r w:rsidR="0051698B">
        <w:rPr>
          <w:rFonts w:ascii="Palatino Linotype" w:hAnsi="Palatino Linotype" w:cs="Arial"/>
          <w:b/>
        </w:rPr>
        <w:t xml:space="preserve">ZULEMA MARTÍNEZ SÁNCHEZ </w:t>
      </w:r>
      <w:r w:rsidRPr="0073286C">
        <w:rPr>
          <w:rFonts w:ascii="Palatino Linotype" w:hAnsi="Palatino Linotype" w:cs="Arial"/>
        </w:rPr>
        <w:t>emite</w:t>
      </w:r>
      <w:r w:rsidR="0051698B">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3933AB">
        <w:rPr>
          <w:rFonts w:ascii="Palatino Linotype" w:hAnsi="Palatino Linotype" w:cs="Arial"/>
          <w:b/>
        </w:rPr>
        <w:t xml:space="preserve"> </w:t>
      </w:r>
      <w:r w:rsidR="0051698B">
        <w:rPr>
          <w:rFonts w:ascii="Palatino Linotype" w:hAnsi="Palatino Linotype" w:cs="Arial"/>
          <w:b/>
        </w:rPr>
        <w:t xml:space="preserve">CONCURRENTE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4447A3">
        <w:rPr>
          <w:rFonts w:ascii="Palatino Linotype" w:hAnsi="Palatino Linotype" w:cs="Arial"/>
          <w:b/>
        </w:rPr>
        <w:t>04638</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000D6F2C">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2956D3"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51698B">
        <w:rPr>
          <w:rFonts w:ascii="Palatino Linotype" w:hAnsi="Palatino Linotype"/>
        </w:rPr>
        <w:t>s</w:t>
      </w:r>
      <w:r w:rsidR="00465F40">
        <w:rPr>
          <w:rFonts w:ascii="Palatino Linotype" w:hAnsi="Palatino Linotype"/>
        </w:rPr>
        <w:t xml:space="preserve"> </w:t>
      </w:r>
      <w:r w:rsidRPr="0073286C">
        <w:rPr>
          <w:rFonts w:ascii="Palatino Linotype" w:hAnsi="Palatino Linotype"/>
        </w:rPr>
        <w:t>suscrita</w:t>
      </w:r>
      <w:r w:rsidR="0051698B">
        <w:rPr>
          <w:rFonts w:ascii="Palatino Linotype" w:hAnsi="Palatino Linotype"/>
        </w:rPr>
        <w:t>s</w:t>
      </w:r>
      <w:r w:rsidRPr="0073286C">
        <w:rPr>
          <w:rFonts w:ascii="Palatino Linotype" w:hAnsi="Palatino Linotype"/>
        </w:rPr>
        <w:t xml:space="preserve"> </w:t>
      </w:r>
      <w:r w:rsidR="0051698B">
        <w:rPr>
          <w:rFonts w:ascii="Palatino Linotype" w:hAnsi="Palatino Linotype"/>
        </w:rPr>
        <w:t>compartimos</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w:t>
      </w:r>
      <w:r w:rsidR="0051698B">
        <w:rPr>
          <w:rFonts w:ascii="Palatino Linotype" w:hAnsi="Palatino Linotype"/>
        </w:rPr>
        <w:t>,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0F0BC5" w:rsidRDefault="00202921" w:rsidP="0051698B">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sidR="0051698B">
        <w:rPr>
          <w:rFonts w:ascii="Palatino Linotype" w:hAnsi="Palatino Linotype"/>
        </w:rPr>
        <w:t>ón materia del presente voto, el</w:t>
      </w:r>
      <w:r w:rsidRPr="0073286C">
        <w:rPr>
          <w:rFonts w:ascii="Palatino Linotype" w:hAnsi="Palatino Linotype"/>
        </w:rPr>
        <w:t xml:space="preserve"> particular requirió </w:t>
      </w:r>
      <w:r w:rsidR="0051698B">
        <w:rPr>
          <w:rFonts w:ascii="Palatino Linotype" w:hAnsi="Palatino Linotype"/>
        </w:rPr>
        <w:t xml:space="preserve">medularmente </w:t>
      </w:r>
      <w:r w:rsidRPr="0073286C">
        <w:rPr>
          <w:rFonts w:ascii="Palatino Linotype" w:hAnsi="Palatino Linotype"/>
        </w:rPr>
        <w:t>de</w:t>
      </w:r>
      <w:r w:rsidR="000D6F2C">
        <w:rPr>
          <w:rFonts w:ascii="Palatino Linotype" w:hAnsi="Palatino Linotype"/>
        </w:rPr>
        <w:t xml:space="preserve"> la</w:t>
      </w:r>
      <w:r w:rsidR="00CB7A00">
        <w:rPr>
          <w:rFonts w:ascii="Palatino Linotype" w:hAnsi="Palatino Linotype"/>
        </w:rPr>
        <w:t xml:space="preserve"> </w:t>
      </w:r>
      <w:r w:rsidR="000D6F2C" w:rsidRPr="00701C3F">
        <w:rPr>
          <w:rFonts w:ascii="Palatino Linotype" w:hAnsi="Palatino Linotype"/>
          <w:b/>
          <w:bCs/>
          <w:szCs w:val="22"/>
        </w:rPr>
        <w:t>Secretaría de Justicia y Derechos Humanos</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sidR="000D6F2C">
        <w:rPr>
          <w:rFonts w:ascii="Palatino Linotype" w:hAnsi="Palatino Linotype"/>
        </w:rPr>
        <w:t>lo siguiente</w:t>
      </w:r>
      <w:r w:rsidR="0051698B">
        <w:rPr>
          <w:rFonts w:ascii="Palatino Linotype" w:hAnsi="Palatino Linotype"/>
        </w:rPr>
        <w:t>:</w:t>
      </w:r>
    </w:p>
    <w:p w:rsidR="004C5335" w:rsidRDefault="000D6F2C" w:rsidP="000D6F2C">
      <w:pPr>
        <w:pStyle w:val="Prrafodelista"/>
        <w:tabs>
          <w:tab w:val="left" w:pos="4962"/>
        </w:tabs>
        <w:ind w:left="851" w:right="850"/>
        <w:jc w:val="both"/>
        <w:rPr>
          <w:rFonts w:ascii="Palatino Linotype" w:eastAsia="Calibri" w:hAnsi="Palatino Linotype" w:cs="Arial"/>
          <w:i/>
          <w:sz w:val="22"/>
          <w:lang w:val="es-ES"/>
        </w:rPr>
      </w:pPr>
      <w:r w:rsidRPr="00701C3F">
        <w:rPr>
          <w:rFonts w:ascii="Palatino Linotype" w:eastAsia="Calibri" w:hAnsi="Palatino Linotype" w:cs="Arial"/>
          <w:i/>
          <w:sz w:val="22"/>
          <w:lang w:val="es-ES"/>
        </w:rPr>
        <w:lastRenderedPageBreak/>
        <w:t>“Hola, intento presentar una solicitud de información señalando como sujeto obligado al Instituto de la Defensoría Pública con sede en Ecatepec de Morelos, pero no aparece en el catálogo de sujetos del SAIMEX. Los asesores de SAIMEX me indican que debo turnar mi solicitud con ustedes. Solicito versión pública de los registros de citas del día 13/11/2018 en copias certificadas expedidas gratuitamente para la sustanciación de un juicio de amparo y en versión SAIMEX para comprobar el contenido.” (</w:t>
      </w:r>
      <w:proofErr w:type="gramStart"/>
      <w:r w:rsidRPr="00701C3F">
        <w:rPr>
          <w:rFonts w:ascii="Palatino Linotype" w:eastAsia="Calibri" w:hAnsi="Palatino Linotype" w:cs="Arial"/>
          <w:i/>
          <w:sz w:val="22"/>
          <w:lang w:val="es-ES"/>
        </w:rPr>
        <w:t>sic</w:t>
      </w:r>
      <w:proofErr w:type="gramEnd"/>
      <w:r w:rsidRPr="00701C3F">
        <w:rPr>
          <w:rFonts w:ascii="Palatino Linotype" w:eastAsia="Calibri" w:hAnsi="Palatino Linotype" w:cs="Arial"/>
          <w:i/>
          <w:sz w:val="22"/>
          <w:lang w:val="es-ES"/>
        </w:rPr>
        <w:t>)</w:t>
      </w:r>
    </w:p>
    <w:p w:rsidR="002F427B" w:rsidRPr="004C5335" w:rsidRDefault="002F427B" w:rsidP="000D6F2C">
      <w:pPr>
        <w:pStyle w:val="Prrafodelista"/>
        <w:tabs>
          <w:tab w:val="left" w:pos="4962"/>
        </w:tabs>
        <w:ind w:left="851" w:right="850"/>
        <w:jc w:val="both"/>
        <w:rPr>
          <w:rFonts w:ascii="Palatino Linotype" w:eastAsia="Calibri" w:hAnsi="Palatino Linotype" w:cs="Tahoma"/>
          <w:iCs/>
          <w:szCs w:val="22"/>
          <w:lang w:val="es-ES" w:eastAsia="es-ES_tradnl"/>
        </w:rPr>
      </w:pPr>
    </w:p>
    <w:p w:rsidR="004E606A" w:rsidRPr="00EF1ABE" w:rsidRDefault="00202921" w:rsidP="00EF1ABE">
      <w:pPr>
        <w:spacing w:before="240" w:after="240" w:line="360" w:lineRule="auto"/>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w:t>
      </w:r>
      <w:r w:rsidR="000F0BC5">
        <w:rPr>
          <w:rFonts w:ascii="Palatino Linotype" w:hAnsi="Palatino Linotype" w:cs="Arial"/>
        </w:rPr>
        <w:t xml:space="preserve">a la solicitud de información </w:t>
      </w:r>
      <w:r w:rsidR="002F427B" w:rsidRPr="00701C3F">
        <w:rPr>
          <w:rFonts w:ascii="Palatino Linotype" w:hAnsi="Palatino Linotype" w:cs="Arial"/>
        </w:rPr>
        <w:t xml:space="preserve">manifestó </w:t>
      </w:r>
      <w:r w:rsidR="002F427B">
        <w:rPr>
          <w:rFonts w:ascii="Palatino Linotype" w:hAnsi="Palatino Linotype" w:cs="Arial"/>
        </w:rPr>
        <w:t xml:space="preserve">que </w:t>
      </w:r>
      <w:r w:rsidR="002F427B" w:rsidRPr="00701C3F">
        <w:rPr>
          <w:rFonts w:ascii="Palatino Linotype" w:hAnsi="Palatino Linotype" w:cs="Arial"/>
        </w:rPr>
        <w:t>no existe un registro de citas previas, en las Direcciones Regionales se atiende a la población conforme van llegando a solicitar el servicio de asesoría jurídica gratuita</w:t>
      </w:r>
      <w:r w:rsidR="00EF1ABE">
        <w:rPr>
          <w:rFonts w:ascii="Palatino Linotype" w:hAnsi="Palatino Linotype"/>
          <w:color w:val="000000"/>
        </w:rPr>
        <w:t xml:space="preserve">. </w:t>
      </w:r>
    </w:p>
    <w:p w:rsidR="008A5420" w:rsidRDefault="00177727" w:rsidP="00477DB6">
      <w:pPr>
        <w:spacing w:before="100" w:beforeAutospacing="1" w:after="100" w:afterAutospacing="1"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C5335">
        <w:rPr>
          <w:rFonts w:ascii="Palatino Linotype" w:hAnsi="Palatino Linotype"/>
        </w:rPr>
        <w:t>el</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manifestando como razones o motivos de inconformidad lo siguiente:</w:t>
      </w:r>
    </w:p>
    <w:p w:rsidR="006468C8" w:rsidRPr="008363F4" w:rsidRDefault="008A5420" w:rsidP="008363F4">
      <w:pPr>
        <w:pStyle w:val="Prrafodelista"/>
        <w:spacing w:before="100" w:beforeAutospacing="1" w:after="100" w:afterAutospacing="1"/>
        <w:ind w:left="1080" w:right="1043"/>
        <w:jc w:val="both"/>
        <w:rPr>
          <w:rFonts w:ascii="Palatino Linotype" w:hAnsi="Palatino Linotype" w:cs="Arial"/>
          <w:i/>
          <w:sz w:val="22"/>
          <w:szCs w:val="22"/>
        </w:rPr>
      </w:pPr>
      <w:r w:rsidRPr="008363F4">
        <w:rPr>
          <w:rFonts w:ascii="Palatino Linotype" w:hAnsi="Palatino Linotype" w:cs="Arial"/>
          <w:bCs/>
          <w:i/>
          <w:sz w:val="22"/>
          <w:szCs w:val="22"/>
        </w:rPr>
        <w:t>“</w:t>
      </w:r>
      <w:r w:rsidR="002F427B" w:rsidRPr="002F427B">
        <w:rPr>
          <w:rFonts w:ascii="Palatino Linotype" w:hAnsi="Palatino Linotype"/>
          <w:i/>
          <w:sz w:val="22"/>
          <w:szCs w:val="22"/>
          <w:lang w:val="es-ES"/>
        </w:rPr>
        <w:t>La autoridad refiere que no hay servicio de citas previas y que los atiende como van llegando, de lo anterior se desprende que los atienden como van llegando y los registran en un libro de citas “atendidas” lo que implica que existe la información solicitada, los registros de citas atendidas como fueron llegando del día 13/11/2018. Cabe señalar que solicité copias certificadas expedidas gratuitamente para la sustanciación del juicio de amparo 1757/2018 del índice del Juzgado Decimotercero de Distrito en el Estado de México</w:t>
      </w:r>
      <w:r w:rsidRPr="008363F4">
        <w:rPr>
          <w:rFonts w:ascii="Palatino Linotype" w:hAnsi="Palatino Linotype"/>
          <w:i/>
          <w:sz w:val="22"/>
          <w:szCs w:val="22"/>
        </w:rPr>
        <w:t>.</w:t>
      </w:r>
      <w:r w:rsidRPr="008363F4">
        <w:rPr>
          <w:rFonts w:ascii="Palatino Linotype" w:hAnsi="Palatino Linotype" w:cs="Arial"/>
          <w:i/>
          <w:sz w:val="22"/>
          <w:szCs w:val="22"/>
        </w:rPr>
        <w:t>” (</w:t>
      </w:r>
      <w:r w:rsidR="00487744" w:rsidRPr="008363F4">
        <w:rPr>
          <w:rFonts w:ascii="Palatino Linotype" w:hAnsi="Palatino Linotype" w:cs="Arial"/>
          <w:i/>
          <w:sz w:val="22"/>
          <w:szCs w:val="22"/>
        </w:rPr>
        <w:t>Sic</w:t>
      </w:r>
      <w:r w:rsidRPr="008363F4">
        <w:rPr>
          <w:rFonts w:ascii="Palatino Linotype" w:hAnsi="Palatino Linotype" w:cs="Arial"/>
          <w:i/>
          <w:sz w:val="22"/>
          <w:szCs w:val="22"/>
        </w:rPr>
        <w:t>)</w:t>
      </w:r>
    </w:p>
    <w:p w:rsidR="00222326" w:rsidRPr="00222326" w:rsidRDefault="000F0BC5"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180F7F">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8910FB">
        <w:rPr>
          <w:rFonts w:ascii="Palatino Linotype" w:hAnsi="Palatino Linotype" w:cs="Arial"/>
        </w:rPr>
        <w:t xml:space="preserve"> la</w:t>
      </w:r>
      <w:r w:rsidR="00030EE3">
        <w:rPr>
          <w:rFonts w:ascii="Palatino Linotype" w:hAnsi="Palatino Linotype" w:cs="Arial"/>
        </w:rPr>
        <w:t xml:space="preserve"> </w:t>
      </w:r>
      <w:r w:rsidR="008910FB">
        <w:rPr>
          <w:rFonts w:ascii="Palatino Linotype" w:hAnsi="Palatino Linotype" w:cs="Arial"/>
        </w:rPr>
        <w:t>entrega</w:t>
      </w:r>
      <w:r w:rsidR="00222326" w:rsidRPr="00222326">
        <w:rPr>
          <w:rFonts w:ascii="Palatino Linotype" w:hAnsi="Palatino Linotype" w:cs="Arial"/>
        </w:rPr>
        <w:t xml:space="preserve"> en copias certificadas </w:t>
      </w:r>
      <w:r w:rsidR="00222326" w:rsidRPr="00222326">
        <w:rPr>
          <w:rFonts w:ascii="Palatino Linotype" w:hAnsi="Palatino Linotype" w:cs="Arial"/>
          <w:i/>
        </w:rPr>
        <w:t>sin costo</w:t>
      </w:r>
      <w:r w:rsidR="00222326" w:rsidRPr="00222326">
        <w:rPr>
          <w:rFonts w:ascii="Palatino Linotype" w:hAnsi="Palatino Linotype" w:cs="Arial"/>
        </w:rPr>
        <w:t xml:space="preserve">, </w:t>
      </w:r>
      <w:r w:rsidR="00222326">
        <w:rPr>
          <w:rFonts w:ascii="Palatino Linotype" w:hAnsi="Palatino Linotype" w:cs="Arial"/>
        </w:rPr>
        <w:t>de lo</w:t>
      </w:r>
      <w:r w:rsidR="00222326" w:rsidRPr="00222326">
        <w:rPr>
          <w:rFonts w:ascii="Palatino Linotype" w:hAnsi="Palatino Linotype" w:cs="Arial"/>
        </w:rPr>
        <w:t xml:space="preserve"> siguiente:</w:t>
      </w:r>
    </w:p>
    <w:p w:rsidR="00233F2E" w:rsidRPr="00233F2E" w:rsidRDefault="00233F2E" w:rsidP="00233F2E">
      <w:pPr>
        <w:pStyle w:val="Prrafodelista"/>
        <w:numPr>
          <w:ilvl w:val="0"/>
          <w:numId w:val="9"/>
        </w:numPr>
        <w:tabs>
          <w:tab w:val="left" w:pos="8505"/>
        </w:tabs>
        <w:spacing w:before="240" w:after="240"/>
        <w:ind w:left="993" w:right="850"/>
        <w:jc w:val="both"/>
        <w:rPr>
          <w:rFonts w:ascii="Palatino Linotype" w:eastAsia="Calibri" w:hAnsi="Palatino Linotype" w:cs="Arial"/>
          <w:i/>
          <w:sz w:val="22"/>
          <w:szCs w:val="22"/>
          <w:lang w:val="es-ES"/>
        </w:rPr>
      </w:pPr>
      <w:r w:rsidRPr="00233F2E">
        <w:rPr>
          <w:rFonts w:ascii="Palatino Linotype" w:hAnsi="Palatino Linotype" w:cs="Arial"/>
          <w:i/>
          <w:sz w:val="22"/>
          <w:szCs w:val="22"/>
        </w:rPr>
        <w:t>Registro de asistencia para asesoría gratuita del día trece (13) de noviembre de 2018 del Instituto de la Defensoría Pública con sede en Ecatepec de Morelos.</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w:t>
      </w:r>
      <w:r w:rsidR="00180F7F">
        <w:rPr>
          <w:rFonts w:ascii="Palatino Linotype" w:hAnsi="Palatino Linotype" w:cs="Arial"/>
        </w:rPr>
        <w:t>el</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precisa, requirió información pública a la que pretende acceder en su moda</w:t>
      </w:r>
      <w:r w:rsidR="00233F2E">
        <w:rPr>
          <w:rFonts w:ascii="Palatino Linotype" w:hAnsi="Palatino Linotype" w:cs="Arial"/>
        </w:rPr>
        <w:t xml:space="preserve">lidad </w:t>
      </w:r>
      <w:r w:rsidR="004C2F66">
        <w:rPr>
          <w:rFonts w:ascii="Palatino Linotype" w:hAnsi="Palatino Linotype" w:cs="Arial"/>
        </w:rPr>
        <w:t>tanto vía SAIMEX como</w:t>
      </w:r>
      <w:r w:rsidR="00233F2E">
        <w:rPr>
          <w:rFonts w:ascii="Palatino Linotype" w:hAnsi="Palatino Linotype" w:cs="Arial"/>
        </w:rPr>
        <w:t xml:space="preserve"> copias certificadas sin</w:t>
      </w:r>
      <w:r w:rsidRPr="00B63948">
        <w:rPr>
          <w:rFonts w:ascii="Palatino Linotype" w:hAnsi="Palatino Linotype" w:cs="Arial"/>
        </w:rPr>
        <w:t xml:space="preserve"> costo y </w:t>
      </w:r>
      <w:r>
        <w:rPr>
          <w:rFonts w:ascii="Palatino Linotype" w:hAnsi="Palatino Linotype" w:cs="Arial"/>
        </w:rPr>
        <w:t>derivado de que</w:t>
      </w:r>
      <w:r w:rsidR="000B7BCA">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 xml:space="preserve">la Ponencia </w:t>
      </w:r>
      <w:r w:rsidR="008910FB">
        <w:rPr>
          <w:rFonts w:ascii="Palatino Linotype" w:hAnsi="Palatino Linotype" w:cs="Arial"/>
        </w:rPr>
        <w:t>decidió</w:t>
      </w:r>
      <w:r>
        <w:rPr>
          <w:rFonts w:ascii="Palatino Linotype" w:hAnsi="Palatino Linotype" w:cs="Arial"/>
        </w:rPr>
        <w:t xml:space="preserve"> ordenar</w:t>
      </w:r>
      <w:r w:rsidRPr="00B63948">
        <w:rPr>
          <w:rFonts w:ascii="Palatino Linotype" w:hAnsi="Palatino Linotype" w:cs="Arial"/>
        </w:rPr>
        <w:t xml:space="preserve"> el acceso a la información de referencia en </w:t>
      </w:r>
      <w:r w:rsidR="00E515B2">
        <w:rPr>
          <w:rFonts w:ascii="Palatino Linotype" w:hAnsi="Palatino Linotype" w:cs="Arial"/>
        </w:rPr>
        <w:t>c</w:t>
      </w:r>
      <w:r w:rsidRPr="00B63948">
        <w:rPr>
          <w:rFonts w:ascii="Palatino Linotype" w:hAnsi="Palatino Linotype" w:cs="Arial"/>
        </w:rPr>
        <w:t>opias certifica</w:t>
      </w:r>
      <w:r w:rsidR="008910FB">
        <w:rPr>
          <w:rFonts w:ascii="Palatino Linotype" w:hAnsi="Palatino Linotype" w:cs="Arial"/>
        </w:rPr>
        <w:t>das sin que medie el pago de</w:t>
      </w:r>
      <w:r w:rsidRPr="00B63948">
        <w:rPr>
          <w:rFonts w:ascii="Palatino Linotype" w:hAnsi="Palatino Linotype" w:cs="Arial"/>
        </w:rPr>
        <w:t xml:space="preserve"> derechos correspondientes. </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w:t>
      </w:r>
      <w:r w:rsidR="00477DB6">
        <w:rPr>
          <w:rFonts w:ascii="Palatino Linotype" w:hAnsi="Palatino Linotype" w:cs="Arial"/>
        </w:rPr>
        <w:t>eso a la información pública de la</w:t>
      </w:r>
      <w:r>
        <w:rPr>
          <w:rFonts w:ascii="Palatino Linotype" w:hAnsi="Palatino Linotype" w:cs="Arial"/>
        </w:rPr>
        <w:t xml:space="preserve"> particular, y una vez instrumentadas cada una de las actuaciones que la Ley contempla, este Órgano Garante emitirá un fallo donde se podrá:</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B63948"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060E4"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9A2CD2" w:rsidRDefault="000060E4"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Lo anterior, aunado a que el fundamento que la Ponencia invoca para determinar la entrega de la informació</w:t>
      </w:r>
      <w:r w:rsidR="008910FB">
        <w:rPr>
          <w:rFonts w:ascii="Palatino Linotype" w:hAnsi="Palatino Linotype" w:cs="Arial"/>
        </w:rPr>
        <w:t>n requerida sin que medie el</w:t>
      </w:r>
      <w:r>
        <w:rPr>
          <w:rFonts w:ascii="Palatino Linotype" w:hAnsi="Palatino Linotype" w:cs="Arial"/>
        </w:rPr>
        <w:t xml:space="preserve"> pago de derechos por la expedición de copias certificadas,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sidR="009A2CD2">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deberá hacerlo del conocimiento del Órgano de Control Interno </w:t>
      </w:r>
      <w:r w:rsidR="008363F4">
        <w:rPr>
          <w:rFonts w:ascii="Palatino Linotype" w:hAnsi="Palatino Linotype" w:cs="Arial"/>
        </w:rPr>
        <w:t>para que</w:t>
      </w:r>
      <w:r w:rsidR="00E515B2" w:rsidRPr="00E515B2">
        <w:rPr>
          <w:rFonts w:ascii="Palatino Linotype" w:hAnsi="Palatino Linotype" w:cs="Arial"/>
        </w:rPr>
        <w:t xml:space="preserve"> </w:t>
      </w:r>
      <w:r w:rsidR="00E515B2">
        <w:rPr>
          <w:rFonts w:ascii="Palatino Linotype" w:hAnsi="Palatino Linotype" w:cs="Arial"/>
        </w:rPr>
        <w:t>determine lo conducente</w:t>
      </w:r>
      <w:r w:rsidRPr="000060E4">
        <w:rPr>
          <w:rFonts w:ascii="Palatino Linotype" w:hAnsi="Palatino Linotype" w:cs="Arial"/>
        </w:rPr>
        <w:t>.</w:t>
      </w:r>
    </w:p>
    <w:p w:rsidR="00233F2E" w:rsidRPr="004C2F66" w:rsidRDefault="009A2CD2" w:rsidP="004C2F66">
      <w:pPr>
        <w:autoSpaceDE w:val="0"/>
        <w:autoSpaceDN w:val="0"/>
        <w:adjustRightInd w:val="0"/>
        <w:spacing w:before="100" w:beforeAutospacing="1" w:after="100" w:afterAutospacing="1"/>
        <w:ind w:left="709" w:right="850"/>
        <w:jc w:val="both"/>
        <w:rPr>
          <w:rFonts w:ascii="Palatino Linotype" w:hAnsi="Palatino Linotype"/>
          <w:i/>
          <w:sz w:val="22"/>
          <w:szCs w:val="22"/>
        </w:rPr>
      </w:pPr>
      <w:r>
        <w:rPr>
          <w:rFonts w:ascii="Palatino Linotype" w:hAnsi="Palatino Linotype"/>
          <w:b/>
          <w:i/>
          <w:sz w:val="22"/>
          <w:szCs w:val="22"/>
        </w:rPr>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233F2E" w:rsidRDefault="00233F2E" w:rsidP="00233F2E">
      <w:pPr>
        <w:autoSpaceDE w:val="0"/>
        <w:autoSpaceDN w:val="0"/>
        <w:adjustRightInd w:val="0"/>
        <w:spacing w:before="100" w:beforeAutospacing="1" w:after="100" w:afterAutospacing="1" w:line="360" w:lineRule="auto"/>
        <w:jc w:val="both"/>
        <w:rPr>
          <w:rFonts w:ascii="Palatino Linotype" w:hAnsi="Palatino Linotype"/>
        </w:rPr>
      </w:pPr>
      <w:r>
        <w:rPr>
          <w:rFonts w:ascii="Palatino Linotype" w:hAnsi="Palatino Linotype"/>
        </w:rPr>
        <w:t>De lo anterior podemos advertir que no está estipulada como tal la modalidad de expedición de copias certificadas sin costo al momento de presentar la solicitud de información, únicamente figura la expedición previo pago de derechos tal y como se aprecia a continuación:</w:t>
      </w:r>
    </w:p>
    <w:p w:rsidR="006172AA" w:rsidRDefault="006172AA" w:rsidP="00233F2E">
      <w:pPr>
        <w:autoSpaceDE w:val="0"/>
        <w:autoSpaceDN w:val="0"/>
        <w:adjustRightInd w:val="0"/>
        <w:spacing w:before="100" w:beforeAutospacing="1" w:after="100" w:afterAutospacing="1" w:line="360" w:lineRule="auto"/>
        <w:jc w:val="both"/>
        <w:rPr>
          <w:rFonts w:ascii="Palatino Linotype" w:hAnsi="Palatino Linotype"/>
        </w:rPr>
      </w:pPr>
    </w:p>
    <w:p w:rsidR="006172AA" w:rsidRDefault="006172AA" w:rsidP="00233F2E">
      <w:pPr>
        <w:autoSpaceDE w:val="0"/>
        <w:autoSpaceDN w:val="0"/>
        <w:adjustRightInd w:val="0"/>
        <w:spacing w:before="100" w:beforeAutospacing="1" w:after="100" w:afterAutospacing="1" w:line="360" w:lineRule="auto"/>
        <w:jc w:val="both"/>
        <w:rPr>
          <w:rFonts w:ascii="Palatino Linotype" w:hAnsi="Palatino Linotype"/>
        </w:rPr>
      </w:pPr>
    </w:p>
    <w:p w:rsidR="00233F2E" w:rsidRDefault="00233F2E" w:rsidP="00233F2E">
      <w:pPr>
        <w:autoSpaceDE w:val="0"/>
        <w:autoSpaceDN w:val="0"/>
        <w:adjustRightInd w:val="0"/>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29D0A54B" wp14:editId="2EFE3944">
            <wp:extent cx="5850890" cy="1819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19275"/>
                    </a:xfrm>
                    <a:prstGeom prst="rect">
                      <a:avLst/>
                    </a:prstGeom>
                  </pic:spPr>
                </pic:pic>
              </a:graphicData>
            </a:graphic>
          </wp:inline>
        </w:drawing>
      </w:r>
    </w:p>
    <w:p w:rsidR="006172AA" w:rsidRDefault="006172AA" w:rsidP="006172AA">
      <w:pPr>
        <w:autoSpaceDE w:val="0"/>
        <w:autoSpaceDN w:val="0"/>
        <w:adjustRightInd w:val="0"/>
        <w:spacing w:before="100" w:beforeAutospacing="1" w:after="100" w:afterAutospacing="1" w:line="360" w:lineRule="auto"/>
        <w:ind w:right="142"/>
        <w:jc w:val="both"/>
        <w:rPr>
          <w:rFonts w:ascii="Palatino Linotype" w:hAnsi="Palatino Linotype"/>
        </w:rPr>
      </w:pPr>
      <w:r>
        <w:rPr>
          <w:rFonts w:ascii="Palatino Linotype" w:hAnsi="Palatino Linotype"/>
        </w:rPr>
        <w:t>Esto es en concordancia con el artículo 73</w:t>
      </w:r>
      <w:r w:rsidR="004C2F66">
        <w:rPr>
          <w:rFonts w:ascii="Palatino Linotype" w:hAnsi="Palatino Linotype"/>
        </w:rPr>
        <w:t>,</w:t>
      </w:r>
      <w:r>
        <w:rPr>
          <w:rFonts w:ascii="Palatino Linotype" w:hAnsi="Palatino Linotype"/>
        </w:rPr>
        <w:t xml:space="preserve"> fracciones I y V del Código Financiero del Estado de México que a la letra señala:</w:t>
      </w:r>
    </w:p>
    <w:p w:rsidR="006172AA" w:rsidRPr="00374E82" w:rsidRDefault="006172AA" w:rsidP="004C2F66">
      <w:pPr>
        <w:autoSpaceDE w:val="0"/>
        <w:autoSpaceDN w:val="0"/>
        <w:adjustRightInd w:val="0"/>
        <w:spacing w:before="100" w:beforeAutospacing="1" w:after="100" w:afterAutospacing="1"/>
        <w:ind w:left="709" w:right="1417"/>
        <w:jc w:val="both"/>
        <w:rPr>
          <w:rFonts w:ascii="Palatino Linotype" w:hAnsi="Palatino Linotype"/>
          <w:i/>
          <w:sz w:val="22"/>
          <w:szCs w:val="22"/>
        </w:rPr>
      </w:pPr>
      <w:r w:rsidRPr="00374E82">
        <w:rPr>
          <w:rFonts w:ascii="Palatino Linotype" w:hAnsi="Palatino Linotype"/>
          <w:i/>
          <w:sz w:val="22"/>
          <w:szCs w:val="22"/>
        </w:rPr>
        <w:t>“</w:t>
      </w:r>
      <w:r w:rsidRPr="00374E82">
        <w:rPr>
          <w:rFonts w:ascii="Palatino Linotype" w:hAnsi="Palatino Linotype"/>
          <w:b/>
          <w:i/>
          <w:sz w:val="22"/>
          <w:szCs w:val="22"/>
        </w:rPr>
        <w:t>Artículo 73</w:t>
      </w:r>
      <w:r w:rsidRPr="00374E82">
        <w:rPr>
          <w:rFonts w:ascii="Palatino Linotype" w:hAnsi="Palatino Linotype"/>
          <w:i/>
          <w:sz w:val="22"/>
          <w:szCs w:val="22"/>
        </w:rPr>
        <w:t xml:space="preserve">.- Por la expedición de los siguientes documentos se pagarán: </w:t>
      </w:r>
    </w:p>
    <w:p w:rsidR="006172AA" w:rsidRPr="00374E82" w:rsidRDefault="006172AA" w:rsidP="004C2F66">
      <w:pPr>
        <w:autoSpaceDE w:val="0"/>
        <w:autoSpaceDN w:val="0"/>
        <w:adjustRightInd w:val="0"/>
        <w:spacing w:before="100" w:beforeAutospacing="1" w:after="100" w:afterAutospacing="1"/>
        <w:ind w:left="709" w:right="1417"/>
        <w:jc w:val="center"/>
        <w:rPr>
          <w:rFonts w:ascii="Palatino Linotype" w:hAnsi="Palatino Linotype"/>
          <w:b/>
          <w:i/>
          <w:sz w:val="22"/>
          <w:szCs w:val="22"/>
        </w:rPr>
      </w:pPr>
      <w:r w:rsidRPr="00374E82">
        <w:rPr>
          <w:rFonts w:ascii="Palatino Linotype" w:hAnsi="Palatino Linotype"/>
          <w:b/>
          <w:i/>
          <w:sz w:val="22"/>
          <w:szCs w:val="22"/>
        </w:rPr>
        <w:t>TARIFA</w:t>
      </w:r>
    </w:p>
    <w:p w:rsidR="006172AA" w:rsidRPr="000C5BE6" w:rsidRDefault="006172AA" w:rsidP="004C2F66">
      <w:pPr>
        <w:autoSpaceDE w:val="0"/>
        <w:autoSpaceDN w:val="0"/>
        <w:adjustRightInd w:val="0"/>
        <w:spacing w:before="100" w:beforeAutospacing="1" w:after="100" w:afterAutospacing="1"/>
        <w:ind w:left="709" w:right="1417"/>
        <w:rPr>
          <w:rFonts w:ascii="Palatino Linotype" w:hAnsi="Palatino Linotype"/>
          <w:i/>
          <w:sz w:val="22"/>
          <w:szCs w:val="22"/>
        </w:rPr>
      </w:pPr>
      <w:r w:rsidRPr="000C5BE6">
        <w:rPr>
          <w:rFonts w:ascii="Palatino Linotype" w:hAnsi="Palatino Linotype"/>
          <w:b/>
          <w:i/>
          <w:sz w:val="22"/>
          <w:szCs w:val="22"/>
        </w:rPr>
        <w:t>I</w:t>
      </w:r>
      <w:r w:rsidRPr="000C5BE6">
        <w:rPr>
          <w:rFonts w:ascii="Palatino Linotype" w:hAnsi="Palatino Linotype"/>
          <w:i/>
          <w:sz w:val="22"/>
          <w:szCs w:val="22"/>
        </w:rPr>
        <w:t xml:space="preserve">. Por la expedición de copias certificadas: </w:t>
      </w:r>
    </w:p>
    <w:p w:rsidR="006172AA" w:rsidRPr="000C5BE6" w:rsidRDefault="006172AA" w:rsidP="004C2F66">
      <w:pPr>
        <w:autoSpaceDE w:val="0"/>
        <w:autoSpaceDN w:val="0"/>
        <w:adjustRightInd w:val="0"/>
        <w:spacing w:before="100" w:beforeAutospacing="1" w:after="100" w:afterAutospacing="1"/>
        <w:ind w:left="709" w:right="1417"/>
        <w:rPr>
          <w:rFonts w:ascii="Palatino Linotype" w:hAnsi="Palatino Linotype"/>
          <w:i/>
          <w:sz w:val="22"/>
          <w:szCs w:val="22"/>
        </w:rPr>
      </w:pPr>
      <w:r w:rsidRPr="000C5BE6">
        <w:rPr>
          <w:rFonts w:ascii="Palatino Linotype" w:hAnsi="Palatino Linotype"/>
          <w:i/>
          <w:sz w:val="22"/>
          <w:szCs w:val="22"/>
        </w:rPr>
        <w:t xml:space="preserve">A). Por la primera hoja. $76 </w:t>
      </w:r>
    </w:p>
    <w:p w:rsidR="006172AA" w:rsidRPr="006172AA" w:rsidRDefault="006172AA" w:rsidP="004C2F66">
      <w:pPr>
        <w:autoSpaceDE w:val="0"/>
        <w:autoSpaceDN w:val="0"/>
        <w:adjustRightInd w:val="0"/>
        <w:spacing w:before="100" w:beforeAutospacing="1" w:after="100" w:afterAutospacing="1"/>
        <w:ind w:left="709" w:right="1417"/>
        <w:rPr>
          <w:rFonts w:ascii="Palatino Linotype" w:hAnsi="Palatino Linotype"/>
          <w:i/>
          <w:sz w:val="22"/>
          <w:szCs w:val="22"/>
        </w:rPr>
      </w:pPr>
      <w:r w:rsidRPr="000C5BE6">
        <w:rPr>
          <w:rFonts w:ascii="Palatino Linotype" w:hAnsi="Palatino Linotype"/>
          <w:i/>
          <w:sz w:val="22"/>
          <w:szCs w:val="22"/>
        </w:rPr>
        <w:t>B). Por cada hoja subsecuente. $37</w:t>
      </w:r>
    </w:p>
    <w:p w:rsidR="00B63948" w:rsidRDefault="0046500C"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w:t>
      </w:r>
      <w:r w:rsidR="00B63948">
        <w:rPr>
          <w:rFonts w:ascii="Palatino Linotype" w:hAnsi="Palatino Linotype" w:cs="Arial"/>
        </w:rPr>
        <w:t>or lo cual, la</w:t>
      </w:r>
      <w:r w:rsidR="00180F7F">
        <w:rPr>
          <w:rFonts w:ascii="Palatino Linotype" w:hAnsi="Palatino Linotype" w:cs="Arial"/>
        </w:rPr>
        <w:t>s</w:t>
      </w:r>
      <w:r w:rsidR="00B63948">
        <w:rPr>
          <w:rFonts w:ascii="Palatino Linotype" w:hAnsi="Palatino Linotype" w:cs="Arial"/>
        </w:rPr>
        <w:t xml:space="preserve"> suscrita</w:t>
      </w:r>
      <w:r w:rsidR="00180F7F">
        <w:rPr>
          <w:rFonts w:ascii="Palatino Linotype" w:hAnsi="Palatino Linotype" w:cs="Arial"/>
        </w:rPr>
        <w:t>s emitimos</w:t>
      </w:r>
      <w:r w:rsidR="00B63948">
        <w:rPr>
          <w:rFonts w:ascii="Palatino Linotype" w:hAnsi="Palatino Linotype" w:cs="Arial"/>
        </w:rPr>
        <w:t xml:space="preserve"> </w:t>
      </w:r>
      <w:r w:rsidR="00B63948" w:rsidRPr="006073E1">
        <w:rPr>
          <w:rFonts w:ascii="Palatino Linotype" w:hAnsi="Palatino Linotype" w:cs="Arial"/>
          <w:b/>
        </w:rPr>
        <w:t>VOTO PARTICULAR</w:t>
      </w:r>
      <w:r w:rsidR="00180F7F">
        <w:rPr>
          <w:rFonts w:ascii="Palatino Linotype" w:hAnsi="Palatino Linotype" w:cs="Arial"/>
          <w:b/>
        </w:rPr>
        <w:t xml:space="preserve"> CONCURRENTE</w:t>
      </w:r>
      <w:r w:rsidR="00477DB6">
        <w:rPr>
          <w:rFonts w:ascii="Palatino Linotype" w:hAnsi="Palatino Linotype" w:cs="Arial"/>
          <w:b/>
        </w:rPr>
        <w:t xml:space="preserv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w:t>
      </w:r>
      <w:r w:rsidR="006172AA">
        <w:rPr>
          <w:rFonts w:ascii="Palatino Linotype" w:hAnsi="Palatino Linotype" w:cs="Arial"/>
        </w:rPr>
        <w:t>edición de copias certificadas</w:t>
      </w:r>
      <w:r>
        <w:rPr>
          <w:rFonts w:ascii="Palatino Linotype" w:hAnsi="Palatino Linotype" w:cs="Arial"/>
        </w:rPr>
        <w:t xml:space="preserve">, </w:t>
      </w:r>
      <w:r w:rsidR="008910FB">
        <w:rPr>
          <w:rFonts w:ascii="Palatino Linotype" w:hAnsi="Palatino Linotype" w:cs="Arial"/>
        </w:rPr>
        <w:t>al</w:t>
      </w:r>
      <w:r>
        <w:rPr>
          <w:rFonts w:ascii="Palatino Linotype" w:hAnsi="Palatino Linotype" w:cs="Arial"/>
        </w:rPr>
        <w:t xml:space="preserv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w:t>
      </w:r>
      <w:r w:rsidR="00FB211F">
        <w:rPr>
          <w:rFonts w:ascii="Palatino Linotype" w:hAnsi="Palatino Linotype" w:cs="Arial"/>
        </w:rPr>
        <w:t>s</w:t>
      </w:r>
      <w:r w:rsidR="00E515B2">
        <w:rPr>
          <w:rFonts w:ascii="Palatino Linotype" w:hAnsi="Palatino Linotype" w:cs="Arial"/>
        </w:rPr>
        <w:t xml:space="preserve"> </w:t>
      </w:r>
      <w:r w:rsidR="00FB211F">
        <w:rPr>
          <w:rFonts w:ascii="Palatino Linotype" w:hAnsi="Palatino Linotype" w:cs="Arial"/>
        </w:rPr>
        <w:t>Obligados</w:t>
      </w:r>
      <w:r w:rsidR="00E515B2">
        <w:rPr>
          <w:rFonts w:ascii="Palatino Linotype" w:hAnsi="Palatino Linotype" w:cs="Arial"/>
        </w:rPr>
        <w:t>,</w:t>
      </w:r>
      <w:r w:rsidR="00B63948">
        <w:rPr>
          <w:rFonts w:ascii="Palatino Linotype" w:hAnsi="Palatino Linotype" w:cs="Arial"/>
        </w:rPr>
        <w:t xml:space="preserve"> pues al emitir la resolución se debe actuar con apego a los principios de exhaustividad y congruencia.</w:t>
      </w:r>
    </w:p>
    <w:p w:rsidR="008910FB" w:rsidRDefault="008910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8910FB" w:rsidRDefault="008910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6172AA" w:rsidRDefault="006172AA"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6172AA" w:rsidRDefault="006172AA"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BD4E26" w:rsidRDefault="00BD4E26"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6172AA" w:rsidRDefault="006172AA"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C146EB" w:rsidRPr="0073286C" w:rsidTr="00C146EB">
        <w:tc>
          <w:tcPr>
            <w:tcW w:w="4393" w:type="dxa"/>
          </w:tcPr>
          <w:p w:rsidR="00C146EB" w:rsidRPr="0073286C" w:rsidRDefault="00C146EB" w:rsidP="00C146EB">
            <w:pPr>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C146EB" w:rsidRDefault="00C146EB" w:rsidP="00BD4E26">
            <w:pPr>
              <w:jc w:val="center"/>
              <w:rPr>
                <w:rFonts w:ascii="Palatino Linotype" w:hAnsi="Palatino Linotype"/>
                <w:b/>
              </w:rPr>
            </w:pPr>
            <w:r w:rsidRPr="0073286C">
              <w:rPr>
                <w:rFonts w:ascii="Palatino Linotype" w:hAnsi="Palatino Linotype"/>
                <w:b/>
              </w:rPr>
              <w:t>COMISIONADA</w:t>
            </w:r>
          </w:p>
          <w:p w:rsidR="001024AF" w:rsidRPr="0073286C" w:rsidRDefault="001024AF" w:rsidP="00BD4E26">
            <w:pPr>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C146EB" w:rsidRPr="00457590" w:rsidTr="008910FB">
        <w:trPr>
          <w:trHeight w:val="274"/>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ZULEMA MARTÍNEZ SÁNCHEZ</w:t>
            </w:r>
          </w:p>
        </w:tc>
      </w:tr>
      <w:tr w:rsidR="00C146EB" w:rsidRPr="00457590" w:rsidTr="008910FB">
        <w:trPr>
          <w:trHeight w:val="229"/>
        </w:trPr>
        <w:tc>
          <w:tcPr>
            <w:tcW w:w="4991" w:type="dxa"/>
          </w:tcPr>
          <w:p w:rsidR="00C146EB" w:rsidRDefault="00C146EB" w:rsidP="008910FB">
            <w:pPr>
              <w:jc w:val="center"/>
              <w:rPr>
                <w:rFonts w:ascii="Palatino Linotype" w:hAnsi="Palatino Linotype" w:cs="Arial"/>
                <w:b/>
              </w:rPr>
            </w:pPr>
            <w:r>
              <w:rPr>
                <w:rFonts w:ascii="Palatino Linotype" w:hAnsi="Palatino Linotype" w:cs="Arial"/>
                <w:b/>
              </w:rPr>
              <w:t>COMISIONADA PRESIDENTA</w:t>
            </w:r>
          </w:p>
          <w:p w:rsidR="001024AF" w:rsidRPr="00457590" w:rsidRDefault="001024AF" w:rsidP="008910FB">
            <w:pPr>
              <w:jc w:val="center"/>
              <w:rPr>
                <w:rFonts w:ascii="Palatino Linotype" w:hAnsi="Palatino Linotype" w:cs="Arial"/>
                <w:b/>
              </w:rPr>
            </w:pPr>
            <w:r>
              <w:rPr>
                <w:rFonts w:ascii="Palatino Linotype" w:hAnsi="Palatino Linotype" w:cs="Arial"/>
                <w:b/>
              </w:rPr>
              <w:t>(RÚBRICA)</w:t>
            </w:r>
            <w:bookmarkStart w:id="0" w:name="_GoBack"/>
            <w:bookmarkEnd w:id="0"/>
          </w:p>
        </w:tc>
      </w:tr>
    </w:tbl>
    <w:p w:rsidR="006468C8" w:rsidRDefault="006468C8" w:rsidP="00C146EB">
      <w:pPr>
        <w:jc w:val="both"/>
        <w:rPr>
          <w:rFonts w:ascii="Palatino Linotype" w:hAnsi="Palatino Linotype" w:cs="Arial"/>
        </w:rPr>
      </w:pPr>
    </w:p>
    <w:p w:rsidR="006468C8" w:rsidRDefault="006468C8" w:rsidP="00385565">
      <w:pPr>
        <w:jc w:val="both"/>
        <w:rPr>
          <w:rFonts w:ascii="Palatino Linotype" w:eastAsia="Calibri" w:hAnsi="Palatino Linotype" w:cs="Arial"/>
          <w:color w:val="000000" w:themeColor="text1"/>
          <w:sz w:val="20"/>
          <w:szCs w:val="20"/>
        </w:rPr>
      </w:pPr>
    </w:p>
    <w:p w:rsidR="00F22431" w:rsidRDefault="00F22431"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BD4E26" w:rsidRDefault="00BD4E26" w:rsidP="00385565">
      <w:pPr>
        <w:jc w:val="both"/>
        <w:rPr>
          <w:rFonts w:ascii="Palatino Linotype" w:eastAsia="Calibri" w:hAnsi="Palatino Linotype" w:cs="Arial"/>
          <w:color w:val="000000" w:themeColor="text1"/>
          <w:sz w:val="20"/>
          <w:szCs w:val="20"/>
        </w:rPr>
      </w:pPr>
    </w:p>
    <w:p w:rsidR="00BD4E26" w:rsidRDefault="00BD4E26" w:rsidP="00385565">
      <w:pPr>
        <w:jc w:val="both"/>
        <w:rPr>
          <w:rFonts w:ascii="Palatino Linotype" w:eastAsia="Calibri" w:hAnsi="Palatino Linotype" w:cs="Arial"/>
          <w:color w:val="000000" w:themeColor="text1"/>
          <w:sz w:val="20"/>
          <w:szCs w:val="20"/>
        </w:rPr>
      </w:pPr>
    </w:p>
    <w:p w:rsidR="00BD4E26" w:rsidRDefault="00BD4E26"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202921"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146EB">
        <w:rPr>
          <w:rFonts w:ascii="Palatino Linotype" w:eastAsia="Calibri" w:hAnsi="Palatino Linotype" w:cs="Arial"/>
          <w:color w:val="000000" w:themeColor="text1"/>
          <w:sz w:val="20"/>
          <w:szCs w:val="20"/>
        </w:rPr>
        <w:t xml:space="preserve"> concurrente</w:t>
      </w:r>
      <w:r w:rsidR="00C44F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6172AA">
        <w:rPr>
          <w:rFonts w:ascii="Palatino Linotype" w:eastAsia="Calibri" w:hAnsi="Palatino Linotype" w:cs="Arial"/>
          <w:color w:val="000000" w:themeColor="text1"/>
          <w:sz w:val="20"/>
          <w:szCs w:val="20"/>
        </w:rPr>
        <w:t xml:space="preserve"> recurso de revisión 04638</w:t>
      </w:r>
      <w:r w:rsidRPr="001A4E4A">
        <w:rPr>
          <w:rFonts w:ascii="Palatino Linotype" w:eastAsia="Calibri" w:hAnsi="Palatino Linotype" w:cs="Arial"/>
          <w:color w:val="000000" w:themeColor="text1"/>
          <w:sz w:val="20"/>
          <w:szCs w:val="20"/>
        </w:rPr>
        <w:t>/INFOEM/IP/RR/2018,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6172AA">
        <w:rPr>
          <w:rFonts w:ascii="Palatino Linotype" w:eastAsia="Calibri" w:hAnsi="Palatino Linotype" w:cs="Arial"/>
          <w:color w:val="000000" w:themeColor="text1"/>
          <w:sz w:val="20"/>
          <w:szCs w:val="20"/>
        </w:rPr>
        <w:t>veinte de febrero</w:t>
      </w:r>
      <w:r w:rsidR="00C44FEB">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6172AA">
        <w:rPr>
          <w:rFonts w:ascii="Palatino Linotype" w:eastAsia="Calibri" w:hAnsi="Palatino Linotype" w:cs="Arial"/>
          <w:color w:val="000000" w:themeColor="text1"/>
          <w:sz w:val="20"/>
          <w:szCs w:val="20"/>
        </w:rPr>
        <w:t>dos mil diecinueve</w:t>
      </w:r>
      <w:r w:rsidR="00BD4E26">
        <w:rPr>
          <w:rFonts w:ascii="Palatino Linotype" w:eastAsia="Calibri" w:hAnsi="Palatino Linotype" w:cs="Arial"/>
          <w:color w:val="000000" w:themeColor="text1"/>
          <w:sz w:val="20"/>
          <w:szCs w:val="20"/>
        </w:rPr>
        <w:t xml:space="preserve">. </w:t>
      </w:r>
    </w:p>
    <w:p w:rsidR="00BD4E26" w:rsidRPr="00BD4E26" w:rsidRDefault="00BD4E26" w:rsidP="00385565">
      <w:pPr>
        <w:jc w:val="both"/>
        <w:rPr>
          <w:rFonts w:ascii="Palatino Linotype" w:eastAsia="Calibri" w:hAnsi="Palatino Linotype" w:cs="Arial"/>
          <w:color w:val="000000" w:themeColor="text1"/>
          <w:sz w:val="8"/>
          <w:szCs w:val="8"/>
        </w:rPr>
      </w:pPr>
    </w:p>
    <w:p w:rsidR="00202921" w:rsidRPr="001A4E4A" w:rsidRDefault="008B1D0F" w:rsidP="00385565">
      <w:pPr>
        <w:jc w:val="both"/>
        <w:rPr>
          <w:rFonts w:ascii="Palatino Linotype" w:hAnsi="Palatino Linotype"/>
          <w:sz w:val="20"/>
          <w:szCs w:val="20"/>
        </w:rPr>
      </w:pPr>
      <w:r>
        <w:rPr>
          <w:rFonts w:ascii="Palatino Linotype" w:eastAsia="Calibri" w:hAnsi="Palatino Linotype" w:cs="Arial"/>
          <w:color w:val="000000" w:themeColor="text1"/>
          <w:sz w:val="20"/>
          <w:szCs w:val="20"/>
        </w:rPr>
        <w:t>YSM</w:t>
      </w:r>
      <w:r w:rsidR="008363F4">
        <w:rPr>
          <w:rFonts w:ascii="Palatino Linotype" w:eastAsia="Calibri" w:hAnsi="Palatino Linotype" w:cs="Arial"/>
          <w:color w:val="000000" w:themeColor="text1"/>
          <w:sz w:val="20"/>
          <w:szCs w:val="20"/>
        </w:rPr>
        <w:t>/</w:t>
      </w:r>
      <w:r w:rsidR="00FB211F">
        <w:rPr>
          <w:rFonts w:ascii="Palatino Linotype" w:eastAsia="Calibri" w:hAnsi="Palatino Linotype" w:cs="Arial"/>
          <w:color w:val="000000" w:themeColor="text1"/>
          <w:sz w:val="20"/>
          <w:szCs w:val="20"/>
        </w:rPr>
        <w:t>OSAM/EJCA</w:t>
      </w:r>
    </w:p>
    <w:sectPr w:rsidR="00202921" w:rsidRPr="001A4E4A" w:rsidSect="005F4959">
      <w:headerReference w:type="even" r:id="rId9"/>
      <w:headerReference w:type="default" r:id="rId10"/>
      <w:footerReference w:type="default" r:id="rId11"/>
      <w:headerReference w:type="first" r:id="rId12"/>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E6" w:rsidRDefault="006618E6" w:rsidP="00202921">
      <w:r>
        <w:separator/>
      </w:r>
    </w:p>
  </w:endnote>
  <w:endnote w:type="continuationSeparator" w:id="0">
    <w:p w:rsidR="006618E6" w:rsidRDefault="006618E6"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24AF"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1024AF" w:rsidP="00DC5C4E">
    <w:pPr>
      <w:pStyle w:val="Piedepgina"/>
      <w:tabs>
        <w:tab w:val="clear" w:pos="4252"/>
        <w:tab w:val="left" w:pos="4228"/>
      </w:tabs>
      <w:rPr>
        <w:rFonts w:ascii="Palatino Linotype" w:hAnsi="Palatino Linotype" w:cs="Arial"/>
        <w:b/>
        <w:bCs/>
        <w:sz w:val="20"/>
        <w:szCs w:val="20"/>
      </w:rPr>
    </w:pPr>
  </w:p>
  <w:p w:rsidR="005C7C8F" w:rsidRDefault="001024AF"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24A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24A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1024A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E6" w:rsidRDefault="006618E6" w:rsidP="00202921">
      <w:r>
        <w:separator/>
      </w:r>
    </w:p>
  </w:footnote>
  <w:footnote w:type="continuationSeparator" w:id="0">
    <w:p w:rsidR="006618E6" w:rsidRDefault="006618E6"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24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0D6F2C">
      <w:rPr>
        <w:rFonts w:ascii="Palatino Linotype" w:hAnsi="Palatino Linotype" w:cs="Arial"/>
        <w:sz w:val="20"/>
        <w:szCs w:val="20"/>
      </w:rPr>
      <w:t xml:space="preserve"> CONCURRENTE</w:t>
    </w:r>
    <w:r w:rsidR="00465F40">
      <w:rPr>
        <w:rFonts w:ascii="Palatino Linotype" w:hAnsi="Palatino Linotype" w:cs="Arial"/>
        <w:sz w:val="20"/>
        <w:szCs w:val="20"/>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000D6F2C">
      <w:rPr>
        <w:rFonts w:ascii="Palatino Linotype" w:hAnsi="Palatino Linotype" w:cs="Arial"/>
        <w:sz w:val="20"/>
        <w:szCs w:val="20"/>
      </w:rPr>
      <w:t>04638</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1024AF"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98.45pt;rotation:315;z-index:-251655168;mso-position-horizontal:center;mso-position-horizontal-relative:margin;mso-position-vertical:center;mso-position-vertical-relative:margin" o:allowincell="f" fillcolor="#bfbfbf [2412]" stroked="f" strokecolor="blue">
          <v:fill opacity=".5"/>
          <v:textpath style="font-family:&quot;Palatino Linotype&quot;;font-size:1pt" string="VOTO PARTICULAR CONCURRENTE&#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24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E8707C0"/>
    <w:multiLevelType w:val="hybridMultilevel"/>
    <w:tmpl w:val="FB3010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1"/>
  </w:num>
  <w:num w:numId="2">
    <w:abstractNumId w:val="8"/>
  </w:num>
  <w:num w:numId="3">
    <w:abstractNumId w:val="0"/>
  </w:num>
  <w:num w:numId="4">
    <w:abstractNumId w:val="7"/>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46F49"/>
    <w:rsid w:val="000B5100"/>
    <w:rsid w:val="000B7BCA"/>
    <w:rsid w:val="000D6F2C"/>
    <w:rsid w:val="000F0BC5"/>
    <w:rsid w:val="001024AF"/>
    <w:rsid w:val="0012326D"/>
    <w:rsid w:val="00173159"/>
    <w:rsid w:val="00177727"/>
    <w:rsid w:val="00180F7F"/>
    <w:rsid w:val="001D44D9"/>
    <w:rsid w:val="001D48B2"/>
    <w:rsid w:val="001E0C0E"/>
    <w:rsid w:val="00202921"/>
    <w:rsid w:val="00213408"/>
    <w:rsid w:val="00222326"/>
    <w:rsid w:val="00233F2E"/>
    <w:rsid w:val="002567D9"/>
    <w:rsid w:val="0027401A"/>
    <w:rsid w:val="002956D3"/>
    <w:rsid w:val="002C1CC6"/>
    <w:rsid w:val="002F427B"/>
    <w:rsid w:val="003215B6"/>
    <w:rsid w:val="00364F1A"/>
    <w:rsid w:val="003837CB"/>
    <w:rsid w:val="00385565"/>
    <w:rsid w:val="003878EC"/>
    <w:rsid w:val="003933AB"/>
    <w:rsid w:val="003C6361"/>
    <w:rsid w:val="00400547"/>
    <w:rsid w:val="004447A3"/>
    <w:rsid w:val="00451878"/>
    <w:rsid w:val="0046500C"/>
    <w:rsid w:val="00465F40"/>
    <w:rsid w:val="00477DB6"/>
    <w:rsid w:val="00487744"/>
    <w:rsid w:val="004C2F66"/>
    <w:rsid w:val="004C5335"/>
    <w:rsid w:val="004E606A"/>
    <w:rsid w:val="0051698B"/>
    <w:rsid w:val="005202BA"/>
    <w:rsid w:val="00563561"/>
    <w:rsid w:val="00615728"/>
    <w:rsid w:val="006172AA"/>
    <w:rsid w:val="006468C8"/>
    <w:rsid w:val="00650F98"/>
    <w:rsid w:val="006618E6"/>
    <w:rsid w:val="006E0773"/>
    <w:rsid w:val="00717A14"/>
    <w:rsid w:val="007739F4"/>
    <w:rsid w:val="008363F4"/>
    <w:rsid w:val="008910FB"/>
    <w:rsid w:val="008A5420"/>
    <w:rsid w:val="008B1D0F"/>
    <w:rsid w:val="0094134D"/>
    <w:rsid w:val="009A2CD2"/>
    <w:rsid w:val="00A86F59"/>
    <w:rsid w:val="00AA3031"/>
    <w:rsid w:val="00AB3A08"/>
    <w:rsid w:val="00B31768"/>
    <w:rsid w:val="00B63948"/>
    <w:rsid w:val="00B81A48"/>
    <w:rsid w:val="00BD4E26"/>
    <w:rsid w:val="00BF33C2"/>
    <w:rsid w:val="00C146EB"/>
    <w:rsid w:val="00C23B43"/>
    <w:rsid w:val="00C44FEB"/>
    <w:rsid w:val="00C9714C"/>
    <w:rsid w:val="00CB26E3"/>
    <w:rsid w:val="00CB7A00"/>
    <w:rsid w:val="00D173FA"/>
    <w:rsid w:val="00DD4484"/>
    <w:rsid w:val="00E515B2"/>
    <w:rsid w:val="00E8005C"/>
    <w:rsid w:val="00ED0329"/>
    <w:rsid w:val="00EF1ABE"/>
    <w:rsid w:val="00EF7BD5"/>
    <w:rsid w:val="00F22431"/>
    <w:rsid w:val="00FB2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A896-8450-4A69-9DB4-890EB11F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1185</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2019-02-25T20:06:00Z</cp:lastPrinted>
  <dcterms:created xsi:type="dcterms:W3CDTF">2019-02-22T20:24:00Z</dcterms:created>
  <dcterms:modified xsi:type="dcterms:W3CDTF">2019-03-15T00:02:00Z</dcterms:modified>
</cp:coreProperties>
</file>